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9B33" w14:textId="13DBC82A" w:rsidR="001A79B9" w:rsidRDefault="000E468E" w:rsidP="00232BBA">
      <w:pPr>
        <w:pStyle w:val="Title"/>
        <w:ind w:left="-426"/>
      </w:pPr>
      <w:r>
        <w:t>Music</w:t>
      </w:r>
      <w:r w:rsidR="004F248C">
        <w:t xml:space="preserve"> Technology 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388"/>
        <w:gridCol w:w="4677"/>
      </w:tblGrid>
      <w:tr w:rsidR="00F02612" w14:paraId="61B092D0" w14:textId="77777777" w:rsidTr="2F836286">
        <w:tc>
          <w:tcPr>
            <w:tcW w:w="10065" w:type="dxa"/>
            <w:gridSpan w:val="2"/>
          </w:tcPr>
          <w:p w14:paraId="5E66BD3F" w14:textId="77777777" w:rsidR="00232BBA" w:rsidRPr="004F248C" w:rsidRDefault="00232BBA" w:rsidP="00232BBA">
            <w:pPr>
              <w:rPr>
                <w:rFonts w:cstheme="minorHAnsi"/>
                <w:b/>
                <w:sz w:val="10"/>
                <w:szCs w:val="10"/>
              </w:rPr>
            </w:pPr>
          </w:p>
          <w:p w14:paraId="2676F41A" w14:textId="37932A42" w:rsidR="00232BBA" w:rsidRDefault="00232BBA" w:rsidP="00232BBA">
            <w:pPr>
              <w:rPr>
                <w:rFonts w:cstheme="minorHAnsi"/>
                <w:bCs/>
                <w:sz w:val="24"/>
                <w:szCs w:val="24"/>
              </w:rPr>
            </w:pPr>
            <w:r w:rsidRPr="0043314B">
              <w:rPr>
                <w:rStyle w:val="Heading1Char"/>
              </w:rPr>
              <w:t>Exam board:</w:t>
            </w:r>
            <w:r w:rsidRPr="00ED552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6E482B">
              <w:rPr>
                <w:rFonts w:cstheme="minorHAnsi"/>
                <w:bCs/>
                <w:sz w:val="24"/>
                <w:szCs w:val="24"/>
              </w:rPr>
              <w:t>NCFE</w:t>
            </w:r>
          </w:p>
          <w:p w14:paraId="3C7F5799" w14:textId="77777777" w:rsidR="00232BBA" w:rsidRPr="004F248C" w:rsidRDefault="00232BBA" w:rsidP="00232BBA">
            <w:pPr>
              <w:rPr>
                <w:rFonts w:cstheme="minorHAnsi"/>
                <w:bCs/>
                <w:sz w:val="14"/>
                <w:szCs w:val="14"/>
              </w:rPr>
            </w:pPr>
          </w:p>
          <w:p w14:paraId="7C504D5D" w14:textId="517968E0" w:rsidR="00232BBA" w:rsidRDefault="00232BBA" w:rsidP="00232BBA">
            <w:pPr>
              <w:rPr>
                <w:rFonts w:cstheme="minorHAnsi"/>
                <w:bCs/>
                <w:sz w:val="24"/>
                <w:szCs w:val="24"/>
              </w:rPr>
            </w:pPr>
            <w:r w:rsidRPr="00ED552C">
              <w:rPr>
                <w:rFonts w:cstheme="minorHAnsi"/>
                <w:b/>
                <w:sz w:val="24"/>
                <w:szCs w:val="24"/>
              </w:rPr>
              <w:t>Link to specification</w:t>
            </w:r>
            <w:r w:rsidRPr="00ED552C">
              <w:rPr>
                <w:rFonts w:cstheme="minorHAnsi"/>
                <w:bCs/>
                <w:sz w:val="24"/>
                <w:szCs w:val="24"/>
              </w:rPr>
              <w:t xml:space="preserve">: </w:t>
            </w:r>
          </w:p>
          <w:p w14:paraId="2FB4DF40" w14:textId="137F331C" w:rsidR="00232BBA" w:rsidRDefault="006E482B" w:rsidP="00232BBA">
            <w:hyperlink r:id="rId10" w:history="1">
              <w:r w:rsidRPr="006E482B">
                <w:rPr>
                  <w:rStyle w:val="Hyperlink"/>
                  <w:rFonts w:cstheme="minorHAnsi"/>
                  <w:bCs/>
                  <w:sz w:val="24"/>
                  <w:szCs w:val="24"/>
                </w:rPr>
                <w:t>603-7008-7-qualification-specification-version-1-3.pdf</w:t>
              </w:r>
            </w:hyperlink>
          </w:p>
          <w:p w14:paraId="0F4C67E7" w14:textId="77777777" w:rsidR="00B15223" w:rsidRPr="006E482B" w:rsidRDefault="00B15223" w:rsidP="00232BBA">
            <w:pPr>
              <w:rPr>
                <w:rFonts w:cstheme="minorHAnsi"/>
                <w:bCs/>
                <w:sz w:val="24"/>
                <w:szCs w:val="24"/>
                <w:u w:val="single"/>
              </w:rPr>
            </w:pPr>
          </w:p>
          <w:p w14:paraId="48E55478" w14:textId="11DBD84C" w:rsidR="00232BBA" w:rsidRPr="00B15223" w:rsidRDefault="00232BBA" w:rsidP="00B15223">
            <w:pPr>
              <w:pStyle w:val="Heading1"/>
            </w:pPr>
            <w:r w:rsidRPr="00B15223">
              <w:t>2025-26 Y11</w:t>
            </w:r>
            <w:r w:rsidR="006E482B" w:rsidRPr="00B15223">
              <w:t xml:space="preserve"> Assessments</w:t>
            </w:r>
            <w:r w:rsidRPr="00B15223">
              <w:t xml:space="preserve"> </w:t>
            </w:r>
          </w:p>
          <w:p w14:paraId="3C513E6F" w14:textId="77777777" w:rsidR="006E482B" w:rsidRPr="004F248C" w:rsidRDefault="006E482B" w:rsidP="006E482B">
            <w:pPr>
              <w:rPr>
                <w:sz w:val="12"/>
                <w:szCs w:val="12"/>
              </w:rPr>
            </w:pPr>
          </w:p>
          <w:p w14:paraId="020B6802" w14:textId="156B8432" w:rsidR="00BA1F49" w:rsidRPr="00B15223" w:rsidRDefault="00BA1F49" w:rsidP="00BA1F49">
            <w:pPr>
              <w:rPr>
                <w:sz w:val="24"/>
                <w:szCs w:val="24"/>
              </w:rPr>
            </w:pPr>
            <w:r w:rsidRPr="00B15223">
              <w:rPr>
                <w:sz w:val="24"/>
                <w:szCs w:val="24"/>
              </w:rPr>
              <w:t>Students on this course will begin their Non-Examined Assessment (NEA)</w:t>
            </w:r>
            <w:r w:rsidR="00901984" w:rsidRPr="00B15223">
              <w:rPr>
                <w:sz w:val="24"/>
                <w:szCs w:val="24"/>
              </w:rPr>
              <w:t xml:space="preserve"> coursework</w:t>
            </w:r>
            <w:r w:rsidRPr="00B15223">
              <w:rPr>
                <w:sz w:val="24"/>
                <w:szCs w:val="24"/>
              </w:rPr>
              <w:t xml:space="preserve"> in January</w:t>
            </w:r>
            <w:r w:rsidR="004F248C" w:rsidRPr="00B15223">
              <w:rPr>
                <w:sz w:val="24"/>
                <w:szCs w:val="24"/>
              </w:rPr>
              <w:t xml:space="preserve"> 2026</w:t>
            </w:r>
            <w:r w:rsidRPr="00B15223">
              <w:rPr>
                <w:sz w:val="24"/>
                <w:szCs w:val="24"/>
              </w:rPr>
              <w:t>. This assessment equates to 60% of their final mark. This is in response to a brief set by the exam board.</w:t>
            </w:r>
            <w:r w:rsidR="00B15223">
              <w:rPr>
                <w:sz w:val="24"/>
                <w:szCs w:val="24"/>
              </w:rPr>
              <w:t xml:space="preserve"> </w:t>
            </w:r>
            <w:r w:rsidRPr="00B15223">
              <w:rPr>
                <w:sz w:val="24"/>
                <w:szCs w:val="24"/>
              </w:rPr>
              <w:t xml:space="preserve">Students will be expected to prepare for the NEA leading up to the whole school mock assessment period. </w:t>
            </w:r>
          </w:p>
          <w:p w14:paraId="1273A056" w14:textId="3FBD5100" w:rsidR="00B07779" w:rsidRPr="00B15223" w:rsidRDefault="00B07779" w:rsidP="00BA1F49">
            <w:pPr>
              <w:rPr>
                <w:sz w:val="24"/>
                <w:szCs w:val="24"/>
              </w:rPr>
            </w:pPr>
            <w:r w:rsidRPr="00B15223">
              <w:rPr>
                <w:sz w:val="24"/>
                <w:szCs w:val="24"/>
              </w:rPr>
              <w:t>There</w:t>
            </w:r>
            <w:r w:rsidR="00BA1F49" w:rsidRPr="00B15223">
              <w:rPr>
                <w:sz w:val="24"/>
                <w:szCs w:val="24"/>
              </w:rPr>
              <w:t xml:space="preserve"> will not be a mock assessment for Music Technology during t</w:t>
            </w:r>
            <w:r w:rsidRPr="00B15223">
              <w:rPr>
                <w:sz w:val="24"/>
                <w:szCs w:val="24"/>
              </w:rPr>
              <w:t>he January</w:t>
            </w:r>
            <w:r w:rsidR="00BA1F49" w:rsidRPr="00B15223">
              <w:rPr>
                <w:sz w:val="24"/>
                <w:szCs w:val="24"/>
              </w:rPr>
              <w:t xml:space="preserve"> mock assessment period. The mock will be moved to April once the NEA has been completed. Revision materials </w:t>
            </w:r>
            <w:r w:rsidR="004F248C" w:rsidRPr="00B15223">
              <w:rPr>
                <w:sz w:val="24"/>
                <w:szCs w:val="24"/>
              </w:rPr>
              <w:t xml:space="preserve">for the 1hr 30minutes written exam </w:t>
            </w:r>
            <w:r w:rsidR="00BA1F49" w:rsidRPr="00B15223">
              <w:rPr>
                <w:sz w:val="24"/>
                <w:szCs w:val="24"/>
              </w:rPr>
              <w:t xml:space="preserve">will be provided </w:t>
            </w:r>
            <w:r w:rsidR="004F248C" w:rsidRPr="00B15223">
              <w:rPr>
                <w:sz w:val="24"/>
                <w:szCs w:val="24"/>
              </w:rPr>
              <w:t>whilst students complete the NEA.</w:t>
            </w:r>
          </w:p>
          <w:p w14:paraId="770BE04F" w14:textId="2DA67A6E" w:rsidR="00BA1F49" w:rsidRPr="00B15223" w:rsidRDefault="00BA1F49" w:rsidP="00BA1F49">
            <w:pPr>
              <w:rPr>
                <w:sz w:val="24"/>
                <w:szCs w:val="24"/>
              </w:rPr>
            </w:pPr>
            <w:r w:rsidRPr="00B15223">
              <w:rPr>
                <w:sz w:val="24"/>
                <w:szCs w:val="24"/>
              </w:rPr>
              <w:t xml:space="preserve">It will be expected that students complete 1 piece of revision material per week over the </w:t>
            </w:r>
            <w:r w:rsidR="00B07779" w:rsidRPr="00B15223">
              <w:rPr>
                <w:sz w:val="24"/>
                <w:szCs w:val="24"/>
              </w:rPr>
              <w:t xml:space="preserve">NEA </w:t>
            </w:r>
            <w:r w:rsidRPr="00B15223">
              <w:rPr>
                <w:sz w:val="24"/>
                <w:szCs w:val="24"/>
              </w:rPr>
              <w:t xml:space="preserve">assessment period. </w:t>
            </w:r>
          </w:p>
          <w:p w14:paraId="0369653F" w14:textId="77777777" w:rsidR="00BA1F49" w:rsidRPr="006E482B" w:rsidRDefault="00BA1F49" w:rsidP="006E482B"/>
          <w:p w14:paraId="672A6659" w14:textId="6D70F508" w:rsidR="00F02612" w:rsidRPr="008975D1" w:rsidRDefault="006161E1">
            <w:pPr>
              <w:rPr>
                <w:b/>
                <w:sz w:val="24"/>
                <w:szCs w:val="24"/>
                <w:u w:val="single"/>
              </w:rPr>
            </w:pPr>
            <w:r w:rsidRPr="008975D1">
              <w:rPr>
                <w:b/>
                <w:sz w:val="24"/>
                <w:szCs w:val="24"/>
                <w:u w:val="single"/>
              </w:rPr>
              <w:t>April Mock Assessment</w:t>
            </w:r>
          </w:p>
          <w:p w14:paraId="2A0FD04E" w14:textId="28D5A27D" w:rsidR="00F02612" w:rsidRDefault="00F02612">
            <w:pPr>
              <w:rPr>
                <w:sz w:val="24"/>
                <w:szCs w:val="24"/>
              </w:rPr>
            </w:pPr>
            <w:r w:rsidRPr="00232BBA">
              <w:rPr>
                <w:b/>
                <w:sz w:val="24"/>
                <w:szCs w:val="24"/>
              </w:rPr>
              <w:t>Title and length of paper:</w:t>
            </w:r>
            <w:r w:rsidRPr="00232BBA">
              <w:rPr>
                <w:sz w:val="24"/>
                <w:szCs w:val="24"/>
              </w:rPr>
              <w:t xml:space="preserve"> 1 paper, 1hr 30 min</w:t>
            </w:r>
          </w:p>
          <w:p w14:paraId="642AC342" w14:textId="2C4FA0DF" w:rsidR="006161E1" w:rsidRPr="00232BBA" w:rsidRDefault="008975D1">
            <w:pPr>
              <w:rPr>
                <w:sz w:val="24"/>
                <w:szCs w:val="24"/>
              </w:rPr>
            </w:pPr>
            <w:r w:rsidRPr="008975D1">
              <w:rPr>
                <w:sz w:val="24"/>
                <w:szCs w:val="24"/>
              </w:rPr>
              <w:t>NCFE Level 1/2 Technical Award in Music Technology (603/7008/7</w:t>
            </w:r>
            <w:r>
              <w:rPr>
                <w:sz w:val="24"/>
                <w:szCs w:val="24"/>
              </w:rPr>
              <w:t>)</w:t>
            </w:r>
          </w:p>
          <w:p w14:paraId="4B73FF7B" w14:textId="77777777" w:rsidR="008975D1" w:rsidRDefault="008975D1" w:rsidP="006161E1">
            <w:pPr>
              <w:rPr>
                <w:b/>
                <w:sz w:val="24"/>
                <w:szCs w:val="24"/>
              </w:rPr>
            </w:pPr>
          </w:p>
          <w:p w14:paraId="7597E3D1" w14:textId="494A3015" w:rsidR="004F248C" w:rsidRPr="004F248C" w:rsidRDefault="00F02612" w:rsidP="006161E1">
            <w:pPr>
              <w:rPr>
                <w:bCs/>
                <w:sz w:val="24"/>
                <w:szCs w:val="24"/>
              </w:rPr>
            </w:pPr>
            <w:r w:rsidRPr="00232BBA">
              <w:rPr>
                <w:b/>
                <w:sz w:val="24"/>
                <w:szCs w:val="24"/>
              </w:rPr>
              <w:t xml:space="preserve">Style(s) of question: </w:t>
            </w:r>
            <w:r w:rsidR="004F248C" w:rsidRPr="004F248C">
              <w:rPr>
                <w:bCs/>
                <w:sz w:val="24"/>
                <w:szCs w:val="24"/>
              </w:rPr>
              <w:t>4 sections each with accompanying audio files</w:t>
            </w:r>
            <w:r w:rsidR="008975D1">
              <w:rPr>
                <w:bCs/>
                <w:sz w:val="24"/>
                <w:szCs w:val="24"/>
              </w:rPr>
              <w:t xml:space="preserve"> c</w:t>
            </w:r>
            <w:r w:rsidR="004F248C" w:rsidRPr="004F248C">
              <w:rPr>
                <w:bCs/>
                <w:sz w:val="24"/>
                <w:szCs w:val="24"/>
              </w:rPr>
              <w:t xml:space="preserve">omprising of: </w:t>
            </w:r>
          </w:p>
          <w:p w14:paraId="030DC5C1" w14:textId="77777777" w:rsidR="004F248C" w:rsidRDefault="004F248C" w:rsidP="006161E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Multiple choice questions</w:t>
            </w:r>
          </w:p>
          <w:p w14:paraId="0FB0D3C9" w14:textId="77777777" w:rsidR="008975D1" w:rsidRDefault="004F248C" w:rsidP="006161E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 or 2 mark single line responses, </w:t>
            </w:r>
          </w:p>
          <w:p w14:paraId="220ED0F0" w14:textId="77777777" w:rsidR="008975D1" w:rsidRDefault="004F248C" w:rsidP="006161E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 mark responses requiring explanation, </w:t>
            </w:r>
          </w:p>
          <w:p w14:paraId="205A8256" w14:textId="77777777" w:rsidR="00F02612" w:rsidRDefault="004F248C" w:rsidP="006161E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 and 12 mark responses</w:t>
            </w:r>
            <w:r w:rsidR="008975D1">
              <w:rPr>
                <w:bCs/>
                <w:sz w:val="24"/>
                <w:szCs w:val="24"/>
              </w:rPr>
              <w:t xml:space="preserve"> to audio</w:t>
            </w:r>
            <w:r>
              <w:rPr>
                <w:bCs/>
                <w:sz w:val="24"/>
                <w:szCs w:val="24"/>
              </w:rPr>
              <w:t xml:space="preserve">. </w:t>
            </w:r>
          </w:p>
          <w:p w14:paraId="5DAB6C7B" w14:textId="07F20000" w:rsidR="00B15223" w:rsidRPr="004F248C" w:rsidRDefault="00B15223" w:rsidP="006161E1">
            <w:pPr>
              <w:rPr>
                <w:bCs/>
                <w:sz w:val="24"/>
                <w:szCs w:val="24"/>
              </w:rPr>
            </w:pPr>
          </w:p>
        </w:tc>
      </w:tr>
      <w:tr w:rsidR="00F02612" w14:paraId="1424803B" w14:textId="77777777" w:rsidTr="2F836286">
        <w:trPr>
          <w:trHeight w:val="226"/>
        </w:trPr>
        <w:tc>
          <w:tcPr>
            <w:tcW w:w="5388" w:type="dxa"/>
            <w:vAlign w:val="center"/>
          </w:tcPr>
          <w:p w14:paraId="7E245738" w14:textId="60CC263E" w:rsidR="00F02612" w:rsidRDefault="00232BBA" w:rsidP="00232BBA">
            <w:pPr>
              <w:pStyle w:val="Heading1"/>
            </w:pPr>
            <w:r>
              <w:t>Knowledge</w:t>
            </w:r>
            <w:r w:rsidRPr="00ED552C">
              <w:t xml:space="preserve"> to be assessed</w:t>
            </w:r>
          </w:p>
        </w:tc>
        <w:tc>
          <w:tcPr>
            <w:tcW w:w="4677" w:type="dxa"/>
          </w:tcPr>
          <w:p w14:paraId="62B3264F" w14:textId="58441DF7" w:rsidR="00F02612" w:rsidRDefault="00232BBA" w:rsidP="00232BBA">
            <w:pPr>
              <w:pStyle w:val="Heading1"/>
            </w:pPr>
            <w:r w:rsidRPr="00ED552C">
              <w:t xml:space="preserve">Revision </w:t>
            </w:r>
            <w:r>
              <w:t>re</w:t>
            </w:r>
            <w:r w:rsidRPr="00ED552C">
              <w:t>sources</w:t>
            </w:r>
          </w:p>
        </w:tc>
      </w:tr>
      <w:tr w:rsidR="00F02612" w14:paraId="720A2A83" w14:textId="77777777" w:rsidTr="2F836286">
        <w:trPr>
          <w:trHeight w:val="225"/>
        </w:trPr>
        <w:tc>
          <w:tcPr>
            <w:tcW w:w="5388" w:type="dxa"/>
          </w:tcPr>
          <w:p w14:paraId="6F896853" w14:textId="77777777" w:rsidR="00232BBA" w:rsidRPr="00232BBA" w:rsidRDefault="00232BBA" w:rsidP="00232BBA">
            <w:pPr>
              <w:pStyle w:val="ListParagraph"/>
              <w:ind w:left="455"/>
              <w:rPr>
                <w:sz w:val="24"/>
                <w:szCs w:val="24"/>
              </w:rPr>
            </w:pPr>
          </w:p>
          <w:p w14:paraId="519D39CD" w14:textId="533E5F3A" w:rsidR="00232BBA" w:rsidRPr="008975D1" w:rsidRDefault="008975D1" w:rsidP="008975D1">
            <w:pPr>
              <w:rPr>
                <w:sz w:val="24"/>
                <w:szCs w:val="24"/>
              </w:rPr>
            </w:pPr>
            <w:r w:rsidRPr="008975D1">
              <w:rPr>
                <w:sz w:val="24"/>
                <w:szCs w:val="24"/>
              </w:rPr>
              <w:t>Content area 1</w:t>
            </w:r>
            <w:r>
              <w:rPr>
                <w:sz w:val="24"/>
                <w:szCs w:val="24"/>
              </w:rPr>
              <w:t>:</w:t>
            </w:r>
            <w:r w:rsidRPr="008975D1">
              <w:rPr>
                <w:sz w:val="24"/>
                <w:szCs w:val="24"/>
              </w:rPr>
              <w:t xml:space="preserve"> Introduction to music technology and the music business</w:t>
            </w:r>
          </w:p>
          <w:p w14:paraId="032B4891" w14:textId="77777777" w:rsidR="008975D1" w:rsidRDefault="008975D1" w:rsidP="008975D1">
            <w:pPr>
              <w:rPr>
                <w:sz w:val="24"/>
                <w:szCs w:val="24"/>
              </w:rPr>
            </w:pPr>
          </w:p>
          <w:p w14:paraId="2905282D" w14:textId="1AD8193A" w:rsidR="008975D1" w:rsidRDefault="008975D1" w:rsidP="008975D1">
            <w:pPr>
              <w:rPr>
                <w:sz w:val="24"/>
                <w:szCs w:val="24"/>
              </w:rPr>
            </w:pPr>
            <w:r w:rsidRPr="008975D1">
              <w:rPr>
                <w:sz w:val="24"/>
                <w:szCs w:val="24"/>
              </w:rPr>
              <w:t>Content area 2</w:t>
            </w:r>
            <w:r>
              <w:rPr>
                <w:sz w:val="24"/>
                <w:szCs w:val="24"/>
              </w:rPr>
              <w:t>:</w:t>
            </w:r>
            <w:r w:rsidRPr="008975D1">
              <w:rPr>
                <w:sz w:val="24"/>
                <w:szCs w:val="24"/>
              </w:rPr>
              <w:t xml:space="preserve"> The digital audio workstation (DAW)</w:t>
            </w:r>
          </w:p>
          <w:p w14:paraId="315A3105" w14:textId="77777777" w:rsidR="008975D1" w:rsidRDefault="008975D1" w:rsidP="008975D1">
            <w:pPr>
              <w:rPr>
                <w:sz w:val="24"/>
                <w:szCs w:val="24"/>
              </w:rPr>
            </w:pPr>
          </w:p>
          <w:p w14:paraId="22899AFD" w14:textId="6F4C81C9" w:rsidR="008975D1" w:rsidRDefault="008975D1" w:rsidP="008975D1">
            <w:pPr>
              <w:rPr>
                <w:sz w:val="24"/>
                <w:szCs w:val="24"/>
              </w:rPr>
            </w:pPr>
            <w:r w:rsidRPr="008975D1">
              <w:rPr>
                <w:sz w:val="24"/>
                <w:szCs w:val="24"/>
              </w:rPr>
              <w:t>Content area 3</w:t>
            </w:r>
            <w:r>
              <w:rPr>
                <w:sz w:val="24"/>
                <w:szCs w:val="24"/>
              </w:rPr>
              <w:t>:</w:t>
            </w:r>
            <w:r w:rsidRPr="008975D1">
              <w:rPr>
                <w:sz w:val="24"/>
                <w:szCs w:val="24"/>
              </w:rPr>
              <w:t xml:space="preserve"> Musical elements, musical style and music technolog</w:t>
            </w:r>
            <w:r>
              <w:rPr>
                <w:sz w:val="24"/>
                <w:szCs w:val="24"/>
              </w:rPr>
              <w:t>y</w:t>
            </w:r>
          </w:p>
          <w:p w14:paraId="1CCA60A5" w14:textId="77777777" w:rsidR="008975D1" w:rsidRDefault="008975D1" w:rsidP="008975D1">
            <w:pPr>
              <w:rPr>
                <w:sz w:val="24"/>
                <w:szCs w:val="24"/>
              </w:rPr>
            </w:pPr>
          </w:p>
          <w:p w14:paraId="16A1CE6F" w14:textId="651BF34E" w:rsidR="008975D1" w:rsidRDefault="008975D1" w:rsidP="008975D1">
            <w:pPr>
              <w:rPr>
                <w:sz w:val="24"/>
                <w:szCs w:val="24"/>
              </w:rPr>
            </w:pPr>
            <w:r w:rsidRPr="008975D1">
              <w:rPr>
                <w:sz w:val="24"/>
                <w:szCs w:val="24"/>
              </w:rPr>
              <w:t>Content area 4</w:t>
            </w:r>
            <w:r>
              <w:rPr>
                <w:sz w:val="24"/>
                <w:szCs w:val="24"/>
              </w:rPr>
              <w:t>:</w:t>
            </w:r>
            <w:r w:rsidRPr="008975D1">
              <w:rPr>
                <w:sz w:val="24"/>
                <w:szCs w:val="24"/>
              </w:rPr>
              <w:t xml:space="preserve"> Sound creatio</w:t>
            </w:r>
            <w:r>
              <w:rPr>
                <w:sz w:val="24"/>
                <w:szCs w:val="24"/>
              </w:rPr>
              <w:t>n</w:t>
            </w:r>
          </w:p>
          <w:p w14:paraId="3C588039" w14:textId="77777777" w:rsidR="008975D1" w:rsidRDefault="008975D1" w:rsidP="008975D1">
            <w:pPr>
              <w:rPr>
                <w:sz w:val="24"/>
                <w:szCs w:val="24"/>
              </w:rPr>
            </w:pPr>
          </w:p>
          <w:p w14:paraId="2E3B7BBD" w14:textId="7C51D7C4" w:rsidR="008975D1" w:rsidRPr="008975D1" w:rsidRDefault="008975D1" w:rsidP="008975D1">
            <w:pPr>
              <w:rPr>
                <w:sz w:val="24"/>
                <w:szCs w:val="24"/>
              </w:rPr>
            </w:pPr>
            <w:r w:rsidRPr="008975D1">
              <w:rPr>
                <w:sz w:val="24"/>
                <w:szCs w:val="24"/>
              </w:rPr>
              <w:t>Content area 5</w:t>
            </w:r>
            <w:r>
              <w:rPr>
                <w:sz w:val="24"/>
                <w:szCs w:val="24"/>
              </w:rPr>
              <w:t>:</w:t>
            </w:r>
            <w:r w:rsidRPr="008975D1">
              <w:rPr>
                <w:sz w:val="24"/>
                <w:szCs w:val="24"/>
              </w:rPr>
              <w:t xml:space="preserve"> Multitrack recordin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4677" w:type="dxa"/>
          </w:tcPr>
          <w:p w14:paraId="54F95FF2" w14:textId="77777777" w:rsidR="00232BBA" w:rsidRDefault="00232BBA" w:rsidP="00884D0B">
            <w:pPr>
              <w:rPr>
                <w:sz w:val="24"/>
                <w:szCs w:val="24"/>
              </w:rPr>
            </w:pPr>
          </w:p>
          <w:p w14:paraId="334768BC" w14:textId="77777777" w:rsidR="008975D1" w:rsidRDefault="006161E1" w:rsidP="2F8362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Booklets</w:t>
            </w:r>
          </w:p>
          <w:p w14:paraId="0BC99AAC" w14:textId="77777777" w:rsidR="006161E1" w:rsidRDefault="006161E1" w:rsidP="2F8362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Knowledge Organisers</w:t>
            </w:r>
          </w:p>
          <w:p w14:paraId="0120319B" w14:textId="77777777" w:rsidR="006161E1" w:rsidRDefault="006161E1" w:rsidP="2F8362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Past Papers</w:t>
            </w:r>
          </w:p>
          <w:p w14:paraId="0ECBC1F3" w14:textId="77777777" w:rsidR="00901984" w:rsidRDefault="00901984" w:rsidP="2F83628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12E4B21" w14:textId="0E26E983" w:rsidR="00901984" w:rsidRDefault="00901984" w:rsidP="2F8362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Revision Materials (Please scan QR code)</w:t>
            </w:r>
          </w:p>
          <w:p w14:paraId="29A03541" w14:textId="7FAB7E97" w:rsidR="006161E1" w:rsidRPr="00232BBA" w:rsidRDefault="00901984" w:rsidP="00B1522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29795F7" wp14:editId="62D1B25D">
                  <wp:extent cx="1535502" cy="1535502"/>
                  <wp:effectExtent l="0" t="0" r="7620" b="7620"/>
                  <wp:docPr id="1031062086" name="Picture 1" descr="QR Cod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Cod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842" cy="1570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10CBBE" w14:textId="77777777" w:rsidR="00BA1F49" w:rsidRDefault="00BA1F49" w:rsidP="006161E1"/>
    <w:sectPr w:rsidR="00BA1F49" w:rsidSect="00C40C78">
      <w:headerReference w:type="default" r:id="rId12"/>
      <w:pgSz w:w="11906" w:h="16838"/>
      <w:pgMar w:top="993" w:right="566" w:bottom="1440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FC9BF" w14:textId="77777777" w:rsidR="0031184E" w:rsidRDefault="0031184E" w:rsidP="00A13DBD">
      <w:pPr>
        <w:spacing w:after="0" w:line="240" w:lineRule="auto"/>
      </w:pPr>
      <w:r>
        <w:separator/>
      </w:r>
    </w:p>
  </w:endnote>
  <w:endnote w:type="continuationSeparator" w:id="0">
    <w:p w14:paraId="476D9894" w14:textId="77777777" w:rsidR="0031184E" w:rsidRDefault="0031184E" w:rsidP="00A1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25B75" w14:textId="77777777" w:rsidR="0031184E" w:rsidRDefault="0031184E" w:rsidP="00A13DBD">
      <w:pPr>
        <w:spacing w:after="0" w:line="240" w:lineRule="auto"/>
      </w:pPr>
      <w:r>
        <w:separator/>
      </w:r>
    </w:p>
  </w:footnote>
  <w:footnote w:type="continuationSeparator" w:id="0">
    <w:p w14:paraId="46C612B9" w14:textId="77777777" w:rsidR="0031184E" w:rsidRDefault="0031184E" w:rsidP="00A13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D920F9" w:rsidRDefault="00D920F9" w:rsidP="00A13DBD">
    <w:pPr>
      <w:pStyle w:val="Header"/>
      <w:jc w:val="right"/>
    </w:pPr>
    <w:r>
      <w:rPr>
        <w:noProof/>
      </w:rPr>
      <w:drawing>
        <wp:inline distT="0" distB="0" distL="0" distR="0" wp14:anchorId="09DB4839" wp14:editId="3C6E7877">
          <wp:extent cx="1782233" cy="395108"/>
          <wp:effectExtent l="0" t="0" r="8890" b="5080"/>
          <wp:docPr id="1008234563" name="Picture 1008234563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676" cy="39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BEF00" w14:textId="77777777" w:rsidR="00D920F9" w:rsidRDefault="00D920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515A"/>
    <w:multiLevelType w:val="hybridMultilevel"/>
    <w:tmpl w:val="43A80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E24D2"/>
    <w:multiLevelType w:val="hybridMultilevel"/>
    <w:tmpl w:val="71124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71E76"/>
    <w:multiLevelType w:val="hybridMultilevel"/>
    <w:tmpl w:val="B97C3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26EA2"/>
    <w:multiLevelType w:val="hybridMultilevel"/>
    <w:tmpl w:val="003A2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428E4"/>
    <w:multiLevelType w:val="hybridMultilevel"/>
    <w:tmpl w:val="DC6E0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53878"/>
    <w:multiLevelType w:val="hybridMultilevel"/>
    <w:tmpl w:val="44DAA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D1612"/>
    <w:multiLevelType w:val="hybridMultilevel"/>
    <w:tmpl w:val="A78AF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C3F51"/>
    <w:multiLevelType w:val="hybridMultilevel"/>
    <w:tmpl w:val="AB42A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110040">
    <w:abstractNumId w:val="1"/>
  </w:num>
  <w:num w:numId="2" w16cid:durableId="1190071937">
    <w:abstractNumId w:val="0"/>
  </w:num>
  <w:num w:numId="3" w16cid:durableId="1075206591">
    <w:abstractNumId w:val="3"/>
  </w:num>
  <w:num w:numId="4" w16cid:durableId="465201654">
    <w:abstractNumId w:val="2"/>
  </w:num>
  <w:num w:numId="5" w16cid:durableId="1205945632">
    <w:abstractNumId w:val="4"/>
  </w:num>
  <w:num w:numId="6" w16cid:durableId="885946796">
    <w:abstractNumId w:val="6"/>
  </w:num>
  <w:num w:numId="7" w16cid:durableId="1571236483">
    <w:abstractNumId w:val="7"/>
  </w:num>
  <w:num w:numId="8" w16cid:durableId="1170481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5D"/>
    <w:rsid w:val="00003F8A"/>
    <w:rsid w:val="00066868"/>
    <w:rsid w:val="000D385B"/>
    <w:rsid w:val="000D79F8"/>
    <w:rsid w:val="000E468E"/>
    <w:rsid w:val="000F435D"/>
    <w:rsid w:val="000F5A9A"/>
    <w:rsid w:val="00124591"/>
    <w:rsid w:val="00187B19"/>
    <w:rsid w:val="001A79B9"/>
    <w:rsid w:val="001F12A7"/>
    <w:rsid w:val="00232BBA"/>
    <w:rsid w:val="00240676"/>
    <w:rsid w:val="0031184E"/>
    <w:rsid w:val="003A1339"/>
    <w:rsid w:val="00441BD6"/>
    <w:rsid w:val="00486F59"/>
    <w:rsid w:val="004B0729"/>
    <w:rsid w:val="004F248C"/>
    <w:rsid w:val="0058357C"/>
    <w:rsid w:val="005902EE"/>
    <w:rsid w:val="005A2268"/>
    <w:rsid w:val="006161E1"/>
    <w:rsid w:val="00650CE4"/>
    <w:rsid w:val="00653A56"/>
    <w:rsid w:val="006A5E5B"/>
    <w:rsid w:val="006E482B"/>
    <w:rsid w:val="007037E6"/>
    <w:rsid w:val="007172D0"/>
    <w:rsid w:val="00797C9B"/>
    <w:rsid w:val="007C048B"/>
    <w:rsid w:val="0080354A"/>
    <w:rsid w:val="008419E6"/>
    <w:rsid w:val="00884D0B"/>
    <w:rsid w:val="008975D1"/>
    <w:rsid w:val="008B01FB"/>
    <w:rsid w:val="008D7B6B"/>
    <w:rsid w:val="00901984"/>
    <w:rsid w:val="00921FC2"/>
    <w:rsid w:val="00A10267"/>
    <w:rsid w:val="00A13DBD"/>
    <w:rsid w:val="00A43868"/>
    <w:rsid w:val="00AB0076"/>
    <w:rsid w:val="00AC6105"/>
    <w:rsid w:val="00B07779"/>
    <w:rsid w:val="00B15223"/>
    <w:rsid w:val="00B20BF2"/>
    <w:rsid w:val="00BA1F49"/>
    <w:rsid w:val="00BA4C3D"/>
    <w:rsid w:val="00C220DC"/>
    <w:rsid w:val="00C36ED4"/>
    <w:rsid w:val="00C40C78"/>
    <w:rsid w:val="00C655E6"/>
    <w:rsid w:val="00C65C6C"/>
    <w:rsid w:val="00C73EDE"/>
    <w:rsid w:val="00C85F3F"/>
    <w:rsid w:val="00CD2648"/>
    <w:rsid w:val="00CE1059"/>
    <w:rsid w:val="00D418AF"/>
    <w:rsid w:val="00D83746"/>
    <w:rsid w:val="00D920F9"/>
    <w:rsid w:val="00DB7A96"/>
    <w:rsid w:val="00DE14F3"/>
    <w:rsid w:val="00E42B35"/>
    <w:rsid w:val="00E43BFD"/>
    <w:rsid w:val="00E469DC"/>
    <w:rsid w:val="00E861CC"/>
    <w:rsid w:val="00EA5DC2"/>
    <w:rsid w:val="00F02612"/>
    <w:rsid w:val="00F319D5"/>
    <w:rsid w:val="00F35A3F"/>
    <w:rsid w:val="00F82F86"/>
    <w:rsid w:val="00FC1AD9"/>
    <w:rsid w:val="00FF1098"/>
    <w:rsid w:val="0644BFAB"/>
    <w:rsid w:val="12A0B4CD"/>
    <w:rsid w:val="1478467D"/>
    <w:rsid w:val="2B27BB7F"/>
    <w:rsid w:val="2F836286"/>
    <w:rsid w:val="38846DFC"/>
    <w:rsid w:val="3CD87FD0"/>
    <w:rsid w:val="40F2FD7F"/>
    <w:rsid w:val="41032A50"/>
    <w:rsid w:val="48EC267D"/>
    <w:rsid w:val="4B28E9BD"/>
    <w:rsid w:val="4DE5B1D6"/>
    <w:rsid w:val="59495426"/>
    <w:rsid w:val="5CA76BFA"/>
    <w:rsid w:val="6A42A800"/>
    <w:rsid w:val="707D0A5B"/>
    <w:rsid w:val="74D4A833"/>
    <w:rsid w:val="76020A86"/>
    <w:rsid w:val="7E02F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FEA6D"/>
  <w15:chartTrackingRefBased/>
  <w15:docId w15:val="{E3D90AC5-3C2F-4CEB-A94A-E0F49E93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B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0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DBD"/>
  </w:style>
  <w:style w:type="paragraph" w:styleId="Footer">
    <w:name w:val="footer"/>
    <w:basedOn w:val="Normal"/>
    <w:link w:val="Foot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DBD"/>
  </w:style>
  <w:style w:type="paragraph" w:styleId="Title">
    <w:name w:val="Title"/>
    <w:basedOn w:val="Normal"/>
    <w:next w:val="Normal"/>
    <w:link w:val="TitleChar"/>
    <w:uiPriority w:val="10"/>
    <w:qFormat/>
    <w:rsid w:val="00232B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32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32B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hanleycastlehsorg-my.sharepoint.com/:b:/g/personal/williamsm_hanleycastlehs_org_uk/EamyeRPvcwRLuiW7Qeu8Kz4BN74TmL_9YNOCiGDX1ypmSw?e=3iZPY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89B972413BB4B8CE5FC2EFA3C9AF4" ma:contentTypeVersion="12" ma:contentTypeDescription="Create a new document." ma:contentTypeScope="" ma:versionID="ca5eb3fd9eac3c0230dda01a9f2e1573">
  <xsd:schema xmlns:xsd="http://www.w3.org/2001/XMLSchema" xmlns:xs="http://www.w3.org/2001/XMLSchema" xmlns:p="http://schemas.microsoft.com/office/2006/metadata/properties" xmlns:ns2="8cd92ff2-dc37-4ae6-85a0-aab04c3afeeb" xmlns:ns3="66f6ace0-4dfd-43fe-84f5-8dfff04dc1ca" targetNamespace="http://schemas.microsoft.com/office/2006/metadata/properties" ma:root="true" ma:fieldsID="f4595269004631b9a71cf3de31a9536e" ns2:_="" ns3:_="">
    <xsd:import namespace="8cd92ff2-dc37-4ae6-85a0-aab04c3afeeb"/>
    <xsd:import namespace="66f6ace0-4dfd-43fe-84f5-8dfff04dc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92ff2-dc37-4ae6-85a0-aab04c3af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6ace0-4dfd-43fe-84f5-8dfff04dc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28BC29-F908-47A5-AECD-D4585FEA43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904249-FFD4-4D18-AB77-EA12FF69D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92ff2-dc37-4ae6-85a0-aab04c3afeeb"/>
    <ds:schemaRef ds:uri="66f6ace0-4dfd-43fe-84f5-8dfff04dc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C5F211-2A4D-4141-8816-CC0F6D40E1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270</Words>
  <Characters>1488</Characters>
  <Application>Microsoft Office Word</Application>
  <DocSecurity>0</DocSecurity>
  <Lines>57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 LourdesIT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 Johnston</dc:creator>
  <cp:keywords/>
  <dc:description/>
  <cp:lastModifiedBy>Mr R Johnston</cp:lastModifiedBy>
  <cp:revision>45</cp:revision>
  <cp:lastPrinted>2023-09-21T11:57:00Z</cp:lastPrinted>
  <dcterms:created xsi:type="dcterms:W3CDTF">2023-10-04T06:34:00Z</dcterms:created>
  <dcterms:modified xsi:type="dcterms:W3CDTF">2025-11-07T12:50:00Z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0x0101002E389B972413BB4B8CE5FC2EFA3C9AF4</vt:lpwstr>
  </property>
</Properties>
</file>